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sz w:val="24"/>
          <w:szCs w:val="24"/>
        </w:rPr>
      </w:pPr>
      <w:r>
        <w:rPr>
          <w:rFonts w:ascii="Times New Roman" w:hAnsi="Times New Roman"/>
          <w:sz w:val="24"/>
          <w:szCs w:val="24"/>
        </w:rPr>
      </w:r>
    </w:p>
    <w:tbl>
      <w:tblPr>
        <w:tblW w:w="9638" w:type="dxa"/>
        <w:jc w:val="left"/>
        <w:tblInd w:w="0" w:type="dxa"/>
        <w:tblBorders/>
        <w:tblCellMar>
          <w:top w:w="0" w:type="dxa"/>
          <w:left w:w="0" w:type="dxa"/>
          <w:bottom w:w="0" w:type="dxa"/>
          <w:right w:w="0" w:type="dxa"/>
        </w:tblCellMar>
      </w:tblPr>
      <w:tblGrid>
        <w:gridCol w:w="4056"/>
        <w:gridCol w:w="5582"/>
      </w:tblGrid>
      <w:tr>
        <w:trPr/>
        <w:tc>
          <w:tcPr>
            <w:tcW w:w="4056" w:type="dxa"/>
            <w:tcBorders/>
            <w:shd w:fill="auto" w:val="clear"/>
          </w:tcPr>
          <w:p>
            <w:pPr>
              <w:pStyle w:val="Nidungbng"/>
              <w:pBdr/>
              <w:spacing w:lineRule="atLeast" w:line="270" w:before="120" w:after="0"/>
              <w:ind w:left="0" w:right="0" w:hanging="0"/>
              <w:jc w:val="center"/>
              <w:rPr/>
            </w:pPr>
            <w:r>
              <w:rPr>
                <w:rStyle w:val="Rtnhnmnh"/>
                <w:rFonts w:ascii="Times New Roman" w:hAnsi="Times New Roman"/>
                <w:sz w:val="24"/>
                <w:szCs w:val="24"/>
              </w:rPr>
              <w:t>HỘI HỖ TRỢ GIA ĐÌNH LIỆT SĨ</w:t>
            </w:r>
          </w:p>
          <w:p>
            <w:pPr>
              <w:pStyle w:val="Nidungbng"/>
              <w:pBdr/>
              <w:spacing w:lineRule="atLeast" w:line="270" w:before="120" w:after="0"/>
              <w:ind w:left="0" w:right="0" w:hanging="0"/>
              <w:jc w:val="center"/>
              <w:rPr/>
            </w:pPr>
            <w:r>
              <w:rPr>
                <w:rStyle w:val="Rtnhnmnh"/>
                <w:rFonts w:ascii="Times New Roman" w:hAnsi="Times New Roman"/>
                <w:sz w:val="24"/>
                <w:szCs w:val="24"/>
              </w:rPr>
              <w:t>VIỆT NAM</w:t>
            </w:r>
          </w:p>
          <w:p>
            <w:pPr>
              <w:pStyle w:val="Nidungbng"/>
              <w:pBdr/>
              <w:spacing w:lineRule="atLeast" w:line="270" w:before="120" w:after="0"/>
              <w:ind w:left="0" w:right="0" w:hanging="0"/>
              <w:jc w:val="center"/>
              <w:rPr>
                <w:rFonts w:ascii="Times New Roman" w:hAnsi="Times New Roman"/>
                <w:sz w:val="24"/>
                <w:szCs w:val="24"/>
              </w:rPr>
            </w:pPr>
            <w:r>
              <w:rPr>
                <w:rFonts w:ascii="Times New Roman" w:hAnsi="Times New Roman"/>
                <w:sz w:val="24"/>
                <w:szCs w:val="24"/>
              </w:rPr>
              <w:t>Số: 253/HD-HTGĐLS</w:t>
            </w:r>
          </w:p>
        </w:tc>
        <w:tc>
          <w:tcPr>
            <w:tcW w:w="5582" w:type="dxa"/>
            <w:tcBorders/>
            <w:shd w:fill="auto" w:val="clear"/>
          </w:tcPr>
          <w:p>
            <w:pPr>
              <w:pStyle w:val="Nidungbng"/>
              <w:pBdr/>
              <w:spacing w:lineRule="atLeast" w:line="270" w:before="120" w:after="0"/>
              <w:ind w:left="0" w:right="0" w:hanging="0"/>
              <w:jc w:val="center"/>
              <w:rPr/>
            </w:pPr>
            <w:r>
              <w:rPr>
                <w:rStyle w:val="Rtnhnmnh"/>
                <w:rFonts w:ascii="Times New Roman" w:hAnsi="Times New Roman"/>
                <w:sz w:val="24"/>
                <w:szCs w:val="24"/>
              </w:rPr>
              <w:t>CỘNG HOÀ XÃ HỘI CHỦ NGHĨA VIỆT NAM</w:t>
            </w:r>
          </w:p>
          <w:p>
            <w:pPr>
              <w:pStyle w:val="Nidungbng"/>
              <w:pBdr/>
              <w:spacing w:lineRule="atLeast" w:line="270" w:before="120" w:after="0"/>
              <w:ind w:left="0" w:right="0" w:hanging="0"/>
              <w:jc w:val="center"/>
              <w:rPr/>
            </w:pPr>
            <w:r>
              <w:rPr>
                <w:rStyle w:val="Rtnhnmnh"/>
                <w:rFonts w:ascii="Times New Roman" w:hAnsi="Times New Roman"/>
                <w:sz w:val="24"/>
                <w:szCs w:val="24"/>
              </w:rPr>
              <w:t>Độc lập - Tự do - Hạnh phúc</w:t>
            </w:r>
          </w:p>
          <w:p>
            <w:pPr>
              <w:pStyle w:val="Nidungbng"/>
              <w:pBdr/>
              <w:spacing w:lineRule="atLeast" w:line="270" w:before="120" w:after="0"/>
              <w:ind w:left="0" w:right="0" w:hanging="0"/>
              <w:jc w:val="right"/>
              <w:rPr/>
            </w:pPr>
            <w:r>
              <w:rPr>
                <w:rStyle w:val="Nhnmnh"/>
                <w:rFonts w:ascii="Times New Roman" w:hAnsi="Times New Roman"/>
                <w:sz w:val="24"/>
                <w:szCs w:val="24"/>
              </w:rPr>
              <w:t> </w:t>
            </w:r>
            <w:r>
              <w:rPr>
                <w:rFonts w:ascii="Times New Roman" w:hAnsi="Times New Roman"/>
                <w:sz w:val="24"/>
                <w:szCs w:val="24"/>
              </w:rPr>
              <w:t> </w:t>
            </w:r>
            <w:r>
              <w:rPr>
                <w:rStyle w:val="Nhnmnh"/>
                <w:rFonts w:ascii="Times New Roman" w:hAnsi="Times New Roman"/>
                <w:sz w:val="24"/>
                <w:szCs w:val="24"/>
              </w:rPr>
              <w:t>Hà Nội, ngày 27 tháng 12 năm 2011</w:t>
            </w:r>
          </w:p>
        </w:tc>
      </w:tr>
    </w:tbl>
    <w:p>
      <w:pPr>
        <w:pStyle w:val="Thnvnbn"/>
        <w:widowControl/>
        <w:pBdr/>
        <w:spacing w:lineRule="atLeast" w:line="270" w:before="120" w:after="0"/>
        <w:ind w:left="0" w:right="0" w:hanging="0"/>
        <w:jc w:val="center"/>
        <w:rPr/>
      </w:pPr>
      <w:r>
        <w:rPr>
          <w:rStyle w:val="Rtnhnmnh"/>
          <w:rFonts w:ascii="Times New Roman" w:hAnsi="Times New Roman"/>
          <w:caps w:val="false"/>
          <w:smallCaps w:val="false"/>
          <w:color w:val="000000"/>
          <w:spacing w:val="0"/>
          <w:sz w:val="24"/>
          <w:szCs w:val="24"/>
        </w:rPr>
        <w:t> </w:t>
      </w:r>
    </w:p>
    <w:p>
      <w:pPr>
        <w:pStyle w:val="Thnvnbn"/>
        <w:widowControl/>
        <w:pBdr/>
        <w:spacing w:lineRule="atLeast" w:line="270" w:before="120" w:after="0"/>
        <w:ind w:left="0" w:right="0" w:hanging="0"/>
        <w:jc w:val="center"/>
        <w:rPr/>
      </w:pPr>
      <w:r>
        <w:rPr>
          <w:rStyle w:val="Rtnhnmnh"/>
          <w:rFonts w:ascii="Times New Roman" w:hAnsi="Times New Roman"/>
          <w:b w:val="false"/>
          <w:i w:val="false"/>
          <w:caps w:val="false"/>
          <w:smallCaps w:val="false"/>
          <w:color w:val="000000"/>
          <w:spacing w:val="0"/>
          <w:sz w:val="24"/>
          <w:szCs w:val="24"/>
        </w:rPr>
        <w:t>HƯỚNG DẪN</w:t>
      </w:r>
    </w:p>
    <w:p>
      <w:pPr>
        <w:pStyle w:val="Thnvnbn"/>
        <w:widowControl/>
        <w:pBdr/>
        <w:spacing w:lineRule="atLeast" w:line="270" w:before="120" w:after="0"/>
        <w:ind w:left="0" w:right="0" w:hanging="0"/>
        <w:jc w:val="center"/>
        <w:rPr/>
      </w:pPr>
      <w:r>
        <w:rPr>
          <w:rStyle w:val="Rtnhnmnh"/>
          <w:rFonts w:ascii="Times New Roman" w:hAnsi="Times New Roman"/>
          <w:b w:val="false"/>
          <w:i w:val="false"/>
          <w:caps w:val="false"/>
          <w:smallCaps w:val="false"/>
          <w:color w:val="000000"/>
          <w:spacing w:val="0"/>
          <w:sz w:val="24"/>
          <w:szCs w:val="24"/>
        </w:rPr>
        <w:t>Thủ tục và cách lấy mẫu giám định ADN hài cốt liệt sĩ</w:t>
      </w:r>
      <w:r>
        <w:rPr>
          <w:rFonts w:ascii="Times New Roman" w:hAnsi="Times New Roman"/>
          <w:b w:val="false"/>
          <w:i w:val="false"/>
          <w:caps w:val="false"/>
          <w:smallCaps w:val="false"/>
          <w:color w:val="000000"/>
          <w:spacing w:val="0"/>
          <w:sz w:val="24"/>
          <w:szCs w:val="24"/>
        </w:rPr>
        <w:t> </w:t>
      </w:r>
    </w:p>
    <w:p>
      <w:pPr>
        <w:pStyle w:val="Thnvnbn"/>
        <w:widowControl/>
        <w:pBdr/>
        <w:spacing w:lineRule="atLeast" w:line="270" w:before="120" w:after="0"/>
        <w:ind w:left="0" w:right="0" w:hanging="0"/>
        <w:jc w:val="both"/>
        <w:rPr>
          <w:rFonts w:ascii="Times New Roman" w:hAnsi="Times New Roman"/>
          <w:caps w:val="false"/>
          <w:smallCaps w:val="false"/>
          <w:color w:val="000000"/>
          <w:spacing w:val="0"/>
          <w:sz w:val="24"/>
          <w:szCs w:val="24"/>
        </w:rPr>
      </w:pPr>
      <w:r>
        <w:rPr>
          <w:rFonts w:ascii="Times New Roman" w:hAnsi="Times New Roman"/>
          <w:caps w:val="false"/>
          <w:smallCaps w:val="false"/>
          <w:color w:val="000000"/>
          <w:spacing w:val="0"/>
          <w:sz w:val="24"/>
          <w:szCs w:val="24"/>
        </w:rPr>
        <w:t> </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Căn cứ vào hướng dẫn của Cục Người có công/Bộ Lao động Thương binh và Xã hội; Viện Công nghệ sinh học thuộc Viện Khoa học và Công nghệ Việt Nam; Viện Pháp y Quân đội, Hội Hỗ trợ gia đình liệt sĩ Việt Nam tổng hợp, hướng dẫn thủ tục và cách lấy mẫu giám định ADN hài cốt liệt sĩ, như sau:</w:t>
      </w:r>
    </w:p>
    <w:p>
      <w:pPr>
        <w:pStyle w:val="Thnvnbn"/>
        <w:widowControl/>
        <w:pBdr/>
        <w:spacing w:lineRule="atLeast" w:line="270" w:before="120" w:after="0"/>
        <w:ind w:left="0" w:right="0" w:hanging="0"/>
        <w:jc w:val="both"/>
        <w:rPr/>
      </w:pPr>
      <w:r>
        <w:rPr>
          <w:rStyle w:val="Rtnhnmnh"/>
          <w:rFonts w:ascii="Times New Roman" w:hAnsi="Times New Roman"/>
          <w:b w:val="false"/>
          <w:i w:val="false"/>
          <w:caps w:val="false"/>
          <w:smallCaps w:val="false"/>
          <w:color w:val="000000"/>
          <w:spacing w:val="0"/>
          <w:sz w:val="24"/>
          <w:szCs w:val="24"/>
        </w:rPr>
        <w:t>A</w:t>
      </w:r>
      <w:r>
        <w:rPr>
          <w:rFonts w:ascii="Times New Roman" w:hAnsi="Times New Roman"/>
          <w:b w:val="false"/>
          <w:i w:val="false"/>
          <w:caps w:val="false"/>
          <w:smallCaps w:val="false"/>
          <w:color w:val="000000"/>
          <w:spacing w:val="0"/>
          <w:sz w:val="24"/>
          <w:szCs w:val="24"/>
        </w:rPr>
        <w:t>. </w:t>
      </w:r>
      <w:r>
        <w:rPr>
          <w:rStyle w:val="Rtnhnmnh"/>
          <w:rFonts w:ascii="Times New Roman" w:hAnsi="Times New Roman"/>
          <w:b w:val="false"/>
          <w:i w:val="false"/>
          <w:caps w:val="false"/>
          <w:smallCaps w:val="false"/>
          <w:color w:val="000000"/>
          <w:spacing w:val="0"/>
          <w:sz w:val="24"/>
          <w:szCs w:val="24"/>
        </w:rPr>
        <w:t>THỦ TỤC GIÁM ĐỊNH</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Hội Hỗ trợ gia đình liệt sĩ Việt Nam tiếp nhận các trường hợp giám định hài cốt liệt sĩ nếu có đủ các điều kiện:</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1. Có đơn đề nghị của thân nhân liệt sĩ (thân nhân có CMT nhân dân hoặc giấy tờ tùy thân phù hợp), được UBND xã (phường) xác nhận; mẫu đơn có sẵn ở Ban Chính sách Hội Hỗ trợ gia đình liệt sĩ Việt Nam (có thể lấy mẫu đơn từ trang Web: www.trianlietsi.vn hoặc điện thoại đến Ban Chính sách Hội Hỗ trợ gia đình liệt sĩ Việt Nam để được hướng dẫn).</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2. Có giấy báo tử liệt sĩ (bản sao có chứng thực của xã, phường) hoặc trích lục thông tin về liệt sĩ do đơn vị hoặc Bộ Chỉ huy Quân sự tỉnh, thành cấp. Trường hợp mất giấy báo tử, thân nhân liệt sĩ có thể lên Sở Lao động Thương binh và Xã hội tỉnh, thành xin sao lục lại.</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3. Có vị trí ngôi mộ nghi ngờ là của liệt sĩ (Ví dụ: Số mộ 1, Hàng 2, Lô 3, Nghĩa trang liệt sĩ A… hoặc ở đồi M, thôn H, xã K, huyện X… gia đình đã liên hệ, được Ban Quản lý Nghĩa trang hoặc chính quyền địa phương đồng ý cho mượn mẫu phẩm về giám định, thể hiện bằng biên bản bàn giao cho mượn xương, cốt liệt sĩ). </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4. Nếu thông tin được xác định do đồng đội cũ hoặc bằng phương pháp ngoại cảm thì phải xác định rõ họ tên, địa chỉ của người cung cấp thông tin (có xác nhận của chính quyền xã, phường nơi người cung cấp thông tin cư trú).</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5. Có mẫu đối chứng (hướng dẫn ở phần cách lấy mẫu)</w:t>
      </w:r>
    </w:p>
    <w:p>
      <w:pPr>
        <w:pStyle w:val="Thnvnbn"/>
        <w:widowControl/>
        <w:pBdr/>
        <w:spacing w:lineRule="atLeast" w:line="270" w:before="120" w:after="0"/>
        <w:ind w:left="0" w:right="0" w:hanging="0"/>
        <w:jc w:val="both"/>
        <w:rPr/>
      </w:pPr>
      <w:r>
        <w:rPr>
          <w:rStyle w:val="Rtnhnmnh"/>
          <w:rFonts w:ascii="Times New Roman" w:hAnsi="Times New Roman"/>
          <w:b w:val="false"/>
          <w:i w:val="false"/>
          <w:caps w:val="false"/>
          <w:smallCaps w:val="false"/>
          <w:color w:val="000000"/>
          <w:spacing w:val="0"/>
          <w:sz w:val="24"/>
          <w:szCs w:val="24"/>
        </w:rPr>
        <w:t>B. CÁCH LẤY MẪU GÁM ĐỊNH</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Lấy mẫu là khâu quan trọng nhất trong toàn bộ quá trình giám định. Vì vậy cần chú ý theo một trong các yêu cầu sau:</w:t>
      </w:r>
    </w:p>
    <w:p>
      <w:pPr>
        <w:pStyle w:val="Thnvnbn"/>
        <w:widowControl/>
        <w:pBdr/>
        <w:spacing w:lineRule="atLeast" w:line="270" w:before="120" w:after="0"/>
        <w:ind w:left="0" w:right="0" w:hanging="0"/>
        <w:jc w:val="both"/>
        <w:rPr/>
      </w:pPr>
      <w:r>
        <w:rPr>
          <w:rStyle w:val="Rtnhnmnh"/>
          <w:rFonts w:ascii="Times New Roman" w:hAnsi="Times New Roman"/>
          <w:b w:val="false"/>
          <w:i w:val="false"/>
          <w:caps w:val="false"/>
          <w:smallCaps w:val="false"/>
          <w:color w:val="000000"/>
          <w:spacing w:val="0"/>
          <w:sz w:val="24"/>
          <w:szCs w:val="24"/>
        </w:rPr>
        <w:t>I. Lấy mẫu hài cốt </w:t>
      </w:r>
      <w:r>
        <w:rPr>
          <w:rFonts w:ascii="Times New Roman" w:hAnsi="Times New Roman"/>
          <w:b w:val="false"/>
          <w:i w:val="false"/>
          <w:caps w:val="false"/>
          <w:smallCaps w:val="false"/>
          <w:color w:val="000000"/>
          <w:spacing w:val="0"/>
          <w:sz w:val="24"/>
          <w:szCs w:val="24"/>
        </w:rPr>
        <w:t>(thứ tự ưu tiên từ trên xuống dưới)</w:t>
      </w:r>
    </w:p>
    <w:p>
      <w:pPr>
        <w:pStyle w:val="Thnvnbn"/>
        <w:widowControl/>
        <w:pBdr/>
        <w:spacing w:lineRule="atLeast" w:line="270" w:before="120" w:after="0"/>
        <w:ind w:left="0" w:right="0" w:hanging="0"/>
        <w:jc w:val="both"/>
        <w:rPr/>
      </w:pPr>
      <w:r>
        <w:rPr>
          <w:rFonts w:ascii="Times New Roman" w:hAnsi="Times New Roman"/>
          <w:b w:val="false"/>
          <w:i w:val="false"/>
          <w:caps w:val="false"/>
          <w:smallCaps w:val="false"/>
          <w:color w:val="000000"/>
          <w:spacing w:val="0"/>
          <w:sz w:val="24"/>
          <w:szCs w:val="24"/>
        </w:rPr>
        <w:t>1) </w:t>
      </w:r>
      <w:r>
        <w:rPr>
          <w:rStyle w:val="Nhnmnh"/>
          <w:rFonts w:ascii="Times New Roman" w:hAnsi="Times New Roman"/>
          <w:b w:val="false"/>
          <w:i w:val="false"/>
          <w:caps w:val="false"/>
          <w:smallCaps w:val="false"/>
          <w:color w:val="000000"/>
          <w:spacing w:val="0"/>
          <w:sz w:val="24"/>
          <w:szCs w:val="24"/>
        </w:rPr>
        <w:t>Hài cốt còn nguyên vẹn</w:t>
      </w:r>
      <w:r>
        <w:rPr>
          <w:rFonts w:ascii="Times New Roman" w:hAnsi="Times New Roman"/>
          <w:b w:val="false"/>
          <w:i w:val="false"/>
          <w:caps w:val="false"/>
          <w:smallCaps w:val="false"/>
          <w:color w:val="000000"/>
          <w:spacing w:val="0"/>
          <w:sz w:val="24"/>
          <w:szCs w:val="24"/>
        </w:rPr>
        <w:t>: Lấy từ 1 đến 2 chiếc răng (ưu tiên các răng còn được cố định trong xương hàm).</w:t>
      </w:r>
    </w:p>
    <w:p>
      <w:pPr>
        <w:pStyle w:val="Thnvnbn"/>
        <w:widowControl/>
        <w:pBdr/>
        <w:spacing w:lineRule="atLeast" w:line="270" w:before="120" w:after="0"/>
        <w:ind w:left="0" w:right="0" w:hanging="0"/>
        <w:jc w:val="both"/>
        <w:rPr/>
      </w:pPr>
      <w:r>
        <w:rPr>
          <w:rFonts w:ascii="Times New Roman" w:hAnsi="Times New Roman"/>
          <w:b w:val="false"/>
          <w:i w:val="false"/>
          <w:caps w:val="false"/>
          <w:smallCaps w:val="false"/>
          <w:color w:val="000000"/>
          <w:spacing w:val="0"/>
          <w:sz w:val="24"/>
          <w:szCs w:val="24"/>
        </w:rPr>
        <w:t>2) </w:t>
      </w:r>
      <w:r>
        <w:rPr>
          <w:rStyle w:val="Nhnmnh"/>
          <w:rFonts w:ascii="Times New Roman" w:hAnsi="Times New Roman"/>
          <w:b w:val="false"/>
          <w:i w:val="false"/>
          <w:caps w:val="false"/>
          <w:smallCaps w:val="false"/>
          <w:color w:val="000000"/>
          <w:spacing w:val="0"/>
          <w:sz w:val="24"/>
          <w:szCs w:val="24"/>
        </w:rPr>
        <w:t>Hài cốt không nguyên vẹn</w:t>
      </w:r>
      <w:r>
        <w:rPr>
          <w:rFonts w:ascii="Times New Roman" w:hAnsi="Times New Roman"/>
          <w:b w:val="false"/>
          <w:i w:val="false"/>
          <w:caps w:val="false"/>
          <w:smallCaps w:val="false"/>
          <w:color w:val="000000"/>
          <w:spacing w:val="0"/>
          <w:sz w:val="24"/>
          <w:szCs w:val="24"/>
        </w:rPr>
        <w:t>: Lấy khoảng 2 x 2 cm xương ống hoặc 2 x 2 cm xương còn cứng (các xương xốp như xương sọ, xương sườn, xương bàn tay, bàn chân… rất khó làm giám định, tỷ lệ thành công không cao). </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Chú ý: Mẫu hài cốt liệt sĩ phải được bảo quản trong túi nilon có niêm phong xác nhận của Sở Lao động-Thương binh và Xã hội, ngoài bì ghi rõ đề nghị xác định danh tính đối với liệt sĩ (họ và tên, nguyên quán, ngày tháng năm sinh)</w:t>
      </w:r>
    </w:p>
    <w:p>
      <w:pPr>
        <w:pStyle w:val="Thnvnbn"/>
        <w:widowControl/>
        <w:pBdr/>
        <w:spacing w:lineRule="atLeast" w:line="270" w:before="120" w:after="0"/>
        <w:ind w:left="0" w:right="0" w:hanging="0"/>
        <w:jc w:val="both"/>
        <w:rPr/>
      </w:pPr>
      <w:r>
        <w:rPr>
          <w:rStyle w:val="Rtnhnmnh"/>
          <w:rFonts w:ascii="Times New Roman" w:hAnsi="Times New Roman"/>
          <w:b w:val="false"/>
          <w:i w:val="false"/>
          <w:caps w:val="false"/>
          <w:smallCaps w:val="false"/>
          <w:color w:val="000000"/>
          <w:spacing w:val="0"/>
          <w:sz w:val="24"/>
          <w:szCs w:val="24"/>
        </w:rPr>
        <w:t>II. Lấy mẫu sinh phẩm của thân nhân liệt sĩ</w:t>
      </w:r>
      <w:r>
        <w:rPr>
          <w:rFonts w:ascii="Times New Roman" w:hAnsi="Times New Roman"/>
          <w:b w:val="false"/>
          <w:i w:val="false"/>
          <w:caps w:val="false"/>
          <w:smallCaps w:val="false"/>
          <w:color w:val="000000"/>
          <w:spacing w:val="0"/>
          <w:sz w:val="24"/>
          <w:szCs w:val="24"/>
        </w:rPr>
        <w:t> (mẫu đối chứng)</w:t>
      </w:r>
    </w:p>
    <w:p>
      <w:pPr>
        <w:pStyle w:val="Thnvnbn"/>
        <w:widowControl/>
        <w:pBdr/>
        <w:spacing w:lineRule="atLeast" w:line="270" w:before="120" w:after="0"/>
        <w:ind w:left="0" w:right="0" w:hanging="0"/>
        <w:jc w:val="both"/>
        <w:rPr/>
      </w:pPr>
      <w:r>
        <w:rPr>
          <w:rFonts w:ascii="Times New Roman" w:hAnsi="Times New Roman"/>
          <w:b w:val="false"/>
          <w:i w:val="false"/>
          <w:caps w:val="false"/>
          <w:smallCaps w:val="false"/>
          <w:color w:val="000000"/>
          <w:spacing w:val="0"/>
          <w:sz w:val="24"/>
          <w:szCs w:val="24"/>
        </w:rPr>
        <w:t>1) </w:t>
      </w:r>
      <w:r>
        <w:rPr>
          <w:rStyle w:val="Nhnmnh"/>
          <w:rFonts w:ascii="Times New Roman" w:hAnsi="Times New Roman"/>
          <w:b w:val="false"/>
          <w:i w:val="false"/>
          <w:caps w:val="false"/>
          <w:smallCaps w:val="false"/>
          <w:color w:val="000000"/>
          <w:spacing w:val="0"/>
          <w:sz w:val="24"/>
          <w:szCs w:val="24"/>
        </w:rPr>
        <w:t>Đối tượng lấy mẫu sinh phẩm</w:t>
      </w:r>
      <w:r>
        <w:rPr>
          <w:rFonts w:ascii="Times New Roman" w:hAnsi="Times New Roman"/>
          <w:b w:val="false"/>
          <w:i w:val="false"/>
          <w:caps w:val="false"/>
          <w:smallCaps w:val="false"/>
          <w:color w:val="000000"/>
          <w:spacing w:val="0"/>
          <w:sz w:val="24"/>
          <w:szCs w:val="24"/>
        </w:rPr>
        <w:t>: Ít nhất lấy mẫu của 2 trong số những người thân có mối quan hệ huyết thống theo dòng mẹ hoặc theo dòng cha của liệt sĩ, cụ thể như sau:</w:t>
      </w:r>
    </w:p>
    <w:p>
      <w:pPr>
        <w:pStyle w:val="Thnvnbn"/>
        <w:widowControl/>
        <w:pBdr/>
        <w:spacing w:lineRule="atLeast" w:line="270" w:before="120" w:after="0"/>
        <w:ind w:left="0" w:right="0" w:hanging="0"/>
        <w:jc w:val="both"/>
        <w:rPr/>
      </w:pPr>
      <w:r>
        <w:rPr>
          <w:rFonts w:ascii="Times New Roman" w:hAnsi="Times New Roman"/>
          <w:b w:val="false"/>
          <w:i w:val="false"/>
          <w:caps w:val="false"/>
          <w:smallCaps w:val="false"/>
          <w:color w:val="000000"/>
          <w:spacing w:val="0"/>
          <w:sz w:val="24"/>
          <w:szCs w:val="24"/>
        </w:rPr>
        <w:t>* </w:t>
      </w:r>
      <w:r>
        <w:rPr>
          <w:rStyle w:val="Rtnhnmnh"/>
          <w:rFonts w:ascii="Times New Roman" w:hAnsi="Times New Roman"/>
          <w:b w:val="false"/>
          <w:i w:val="false"/>
          <w:caps w:val="false"/>
          <w:smallCaps w:val="false"/>
          <w:color w:val="000000"/>
          <w:spacing w:val="0"/>
          <w:sz w:val="24"/>
          <w:szCs w:val="24"/>
        </w:rPr>
        <w:t>Theo dòng mẹ</w:t>
      </w:r>
      <w:r>
        <w:rPr>
          <w:rFonts w:ascii="Times New Roman" w:hAnsi="Times New Roman"/>
          <w:b w:val="false"/>
          <w:i w:val="false"/>
          <w:caps w:val="false"/>
          <w:smallCaps w:val="false"/>
          <w:color w:val="000000"/>
          <w:spacing w:val="0"/>
          <w:sz w:val="24"/>
          <w:szCs w:val="24"/>
        </w:rPr>
        <w:t> của liệt sĩ: có thể lấy mẫu của hai trong số những người sau:</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Mẹ liệt sĩ; bà ngoại của liệt sĩ;</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Bác, cậu, dì của liệt sĩ;</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Anh chị em cùng mẹ với liệt sĩ;</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Anh em con dì, con già với liệt sĩ;</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Con của chị gái, em gái của liệt sĩ;</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Con của chị gái, em gái của con dì, con già với liệt sĩ;</w:t>
      </w:r>
    </w:p>
    <w:p>
      <w:pPr>
        <w:pStyle w:val="Thnvnbn"/>
        <w:widowControl/>
        <w:pBdr/>
        <w:spacing w:lineRule="atLeast" w:line="270" w:before="120" w:after="0"/>
        <w:ind w:left="0" w:right="0" w:hanging="0"/>
        <w:jc w:val="both"/>
        <w:rPr/>
      </w:pPr>
      <w:r>
        <w:rPr>
          <w:rFonts w:ascii="Times New Roman" w:hAnsi="Times New Roman"/>
          <w:b w:val="false"/>
          <w:i w:val="false"/>
          <w:caps w:val="false"/>
          <w:smallCaps w:val="false"/>
          <w:color w:val="000000"/>
          <w:spacing w:val="0"/>
          <w:sz w:val="24"/>
          <w:szCs w:val="24"/>
        </w:rPr>
        <w:t>* </w:t>
      </w:r>
      <w:r>
        <w:rPr>
          <w:rStyle w:val="Rtnhnmnh"/>
          <w:rFonts w:ascii="Times New Roman" w:hAnsi="Times New Roman"/>
          <w:b w:val="false"/>
          <w:i w:val="false"/>
          <w:caps w:val="false"/>
          <w:smallCaps w:val="false"/>
          <w:color w:val="000000"/>
          <w:spacing w:val="0"/>
          <w:sz w:val="24"/>
          <w:szCs w:val="24"/>
        </w:rPr>
        <w:t>Theo dòng cha</w:t>
      </w:r>
      <w:r>
        <w:rPr>
          <w:rFonts w:ascii="Times New Roman" w:hAnsi="Times New Roman"/>
          <w:b w:val="false"/>
          <w:i w:val="false"/>
          <w:caps w:val="false"/>
          <w:smallCaps w:val="false"/>
          <w:color w:val="000000"/>
          <w:spacing w:val="0"/>
          <w:sz w:val="24"/>
          <w:szCs w:val="24"/>
        </w:rPr>
        <w:t> của liệt sĩ: (nếu không còn các đối tượng nói trên theo dòng mẹ thì lấy mẫu của ông nội của liệt sĩ; bố đẻ của liệt sĩ).</w:t>
      </w:r>
    </w:p>
    <w:p>
      <w:pPr>
        <w:pStyle w:val="Thnvnbn"/>
        <w:widowControl/>
        <w:pBdr/>
        <w:spacing w:lineRule="atLeast" w:line="270" w:before="120" w:after="0"/>
        <w:ind w:left="0" w:right="0" w:hanging="0"/>
        <w:jc w:val="both"/>
        <w:rPr/>
      </w:pPr>
      <w:r>
        <w:rPr>
          <w:rFonts w:ascii="Times New Roman" w:hAnsi="Times New Roman"/>
          <w:b w:val="false"/>
          <w:i w:val="false"/>
          <w:caps w:val="false"/>
          <w:smallCaps w:val="false"/>
          <w:color w:val="000000"/>
          <w:spacing w:val="0"/>
          <w:sz w:val="24"/>
          <w:szCs w:val="24"/>
        </w:rPr>
        <w:t>2) </w:t>
      </w:r>
      <w:r>
        <w:rPr>
          <w:rStyle w:val="Nhnmnh"/>
          <w:rFonts w:ascii="Times New Roman" w:hAnsi="Times New Roman"/>
          <w:b w:val="false"/>
          <w:i w:val="false"/>
          <w:caps w:val="false"/>
          <w:smallCaps w:val="false"/>
          <w:color w:val="000000"/>
          <w:spacing w:val="0"/>
          <w:sz w:val="24"/>
          <w:szCs w:val="24"/>
        </w:rPr>
        <w:t>Mẫu sinh phẩm của thân nhân</w:t>
      </w:r>
      <w:r>
        <w:rPr>
          <w:rFonts w:ascii="Times New Roman" w:hAnsi="Times New Roman"/>
          <w:b w:val="false"/>
          <w:i w:val="false"/>
          <w:caps w:val="false"/>
          <w:smallCaps w:val="false"/>
          <w:color w:val="000000"/>
          <w:spacing w:val="0"/>
          <w:sz w:val="24"/>
          <w:szCs w:val="24"/>
        </w:rPr>
        <w:t>:</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Móng tay hoặc móng chân.</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Tóc (phải lấy có cả chân tóc)</w:t>
      </w:r>
    </w:p>
    <w:p>
      <w:pPr>
        <w:pStyle w:val="Thnvnbn"/>
        <w:widowControl/>
        <w:pBdr/>
        <w:spacing w:lineRule="atLeast" w:line="270" w:before="12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Mẫu phải bảo quản trong túi nilon đặt trong bì thư, ngoài bì ghi rõ họ tên người được lấy mẫu, tuổi, nguyên quán, trú quán và quan hệ với liệt sĩ, điện thoại liên hệ.</w:t>
      </w:r>
    </w:p>
    <w:p>
      <w:pPr>
        <w:pStyle w:val="Thnvnbn"/>
        <w:widowControl/>
        <w:pBdr/>
        <w:spacing w:lineRule="atLeast" w:line="270" w:before="0" w:after="0"/>
        <w:ind w:left="0" w:right="0" w:hanging="0"/>
        <w:jc w:val="both"/>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Sau khi có đủ các điều kiện trên, thân nhân liệt sĩ đến văn phòng Hội Hỗ trợ gia đình liệt sĩ Việt Nam. Hội sẽ cấp giấy giới thiệu gia đinh đưa mẫu phẩm đến Viện Công nghệ sinh học hoặc Pháp y Quân đội để giám định. Thời gian hoàn thành: từ 30 đến 90 ngày. Gia đình được hỗ trợ kinh phí một lần giám định ADN đối với mỗi liệt sĩ cần xác định danh tính.</w:t>
      </w:r>
    </w:p>
    <w:p>
      <w:pPr>
        <w:pStyle w:val="Thnvnbn"/>
        <w:widowControl/>
        <w:pBdr/>
        <w:spacing w:lineRule="atLeast" w:line="270" w:before="0" w:after="0"/>
        <w:ind w:left="0" w:right="0" w:hanging="0"/>
        <w:jc w:val="both"/>
        <w:rPr>
          <w:rFonts w:ascii="Times New Roman" w:hAnsi="Times New Roman"/>
          <w:sz w:val="24"/>
          <w:szCs w:val="24"/>
        </w:rPr>
      </w:pPr>
      <w:r>
        <w:rPr>
          <w:rFonts w:ascii="Times New Roman" w:hAnsi="Times New Roman"/>
          <w:sz w:val="24"/>
          <w:szCs w:val="24"/>
        </w:rPr>
      </w:r>
    </w:p>
    <w:p>
      <w:pPr>
        <w:pStyle w:val="Thnvnbn"/>
        <w:widowControl/>
        <w:pBdr/>
        <w:spacing w:before="0" w:after="0"/>
        <w:ind w:left="0" w:right="0" w:hanging="0"/>
        <w:jc w:val="center"/>
        <w:rPr>
          <w:rFonts w:ascii="Times New Roman" w:hAnsi="Times New Roman"/>
          <w:b/>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KT. CHỦ TỊCH</w:t>
      </w:r>
    </w:p>
    <w:p>
      <w:pPr>
        <w:pStyle w:val="Thnvnbn"/>
        <w:widowControl/>
        <w:pBdr/>
        <w:spacing w:before="0" w:after="0"/>
        <w:ind w:left="0" w:right="0" w:hanging="0"/>
        <w:jc w:val="center"/>
        <w:rPr>
          <w:rFonts w:ascii="Times New Roman" w:hAnsi="Times New Roman"/>
          <w:b/>
          <w:i w:val="false"/>
          <w:caps w:val="false"/>
          <w:smallCaps w:val="false"/>
          <w:color w:val="000000"/>
          <w:spacing w:val="0"/>
          <w:sz w:val="24"/>
          <w:szCs w:val="24"/>
        </w:rPr>
      </w:pPr>
      <w:r>
        <w:rPr>
          <w:rFonts w:ascii="Times New Roman" w:hAnsi="Times New Roman"/>
          <w:b/>
          <w:i w:val="false"/>
          <w:caps w:val="false"/>
          <w:smallCaps w:val="false"/>
          <w:color w:val="000000"/>
          <w:spacing w:val="0"/>
          <w:sz w:val="24"/>
          <w:szCs w:val="24"/>
        </w:rPr>
        <w:t>PHÓ CHỦ TỊCH</w:t>
        <w:br/>
        <w:t>Nguyễn Hùng Phong</w:t>
      </w:r>
    </w:p>
    <w:p>
      <w:pPr>
        <w:pStyle w:val="Normal"/>
        <w:rPr>
          <w:rFonts w:ascii="Times New Roman" w:hAnsi="Times New Roman"/>
          <w:sz w:val="24"/>
          <w:szCs w:val="24"/>
        </w:rPr>
      </w:pPr>
      <w:r>
        <w:rPr>
          <w:rFonts w:ascii="Times New Roman" w:hAnsi="Times New Roman"/>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auto"/>
    <w:pitch w:val="variable"/>
  </w:font>
</w:fonts>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sz w:val="24"/>
        <w:szCs w:val="24"/>
        <w:lang w:val="vi-VN" w:eastAsia="zh-CN" w:bidi="hi-IN"/>
      </w:rPr>
    </w:rPrDefault>
    <w:pPrDefault>
      <w:pPr>
        <w:widowControl/>
      </w:pPr>
    </w:pPrDefault>
  </w:docDefaults>
  <w:style w:type="paragraph" w:styleId="Normal">
    <w:name w:val="Normal"/>
    <w:qFormat/>
    <w:pPr>
      <w:widowControl/>
    </w:pPr>
    <w:rPr>
      <w:rFonts w:ascii="Liberation Serif" w:hAnsi="Liberation Serif" w:eastAsia="Arial Unicode MS" w:cs="Arial Unicode MS"/>
      <w:color w:val="auto"/>
      <w:sz w:val="24"/>
      <w:szCs w:val="24"/>
      <w:lang w:val="vi-VN" w:eastAsia="zh-CN" w:bidi="hi-IN"/>
    </w:rPr>
  </w:style>
  <w:style w:type="character" w:styleId="Rtnhnmnh">
    <w:name w:val="Rất nhấn mạnh"/>
    <w:qFormat/>
    <w:rPr>
      <w:b/>
      <w:bCs/>
    </w:rPr>
  </w:style>
  <w:style w:type="character" w:styleId="Nhnmnh">
    <w:name w:val="Nhấn mạnh"/>
    <w:qFormat/>
    <w:rPr>
      <w:i/>
      <w:iCs/>
    </w:rPr>
  </w:style>
  <w:style w:type="paragraph" w:styleId="Tiu">
    <w:name w:val="Tiêu đề"/>
    <w:basedOn w:val="Normal"/>
    <w:next w:val="Thnvnbn"/>
    <w:qFormat/>
    <w:pPr>
      <w:keepNext/>
      <w:spacing w:before="240" w:after="120"/>
    </w:pPr>
    <w:rPr>
      <w:rFonts w:ascii="Liberation Sans" w:hAnsi="Liberation Sans" w:eastAsia="Arial Unicode MS" w:cs="Arial Unicode MS"/>
      <w:sz w:val="28"/>
      <w:szCs w:val="28"/>
    </w:rPr>
  </w:style>
  <w:style w:type="paragraph" w:styleId="Thnvnbn">
    <w:name w:val="Body Text"/>
    <w:basedOn w:val="Normal"/>
    <w:pPr>
      <w:spacing w:lineRule="auto" w:line="288" w:before="0" w:after="140"/>
    </w:pPr>
    <w:rPr/>
  </w:style>
  <w:style w:type="paragraph" w:styleId="Danhsch">
    <w:name w:val="List"/>
    <w:basedOn w:val="Thnvnbn"/>
    <w:pPr/>
    <w:rPr/>
  </w:style>
  <w:style w:type="paragraph" w:styleId="Ph">
    <w:name w:val="Caption"/>
    <w:basedOn w:val="Normal"/>
    <w:qFormat/>
    <w:pPr>
      <w:suppressLineNumbers/>
      <w:spacing w:before="120" w:after="120"/>
    </w:pPr>
    <w:rPr>
      <w:i/>
      <w:iCs/>
      <w:sz w:val="24"/>
      <w:szCs w:val="24"/>
    </w:rPr>
  </w:style>
  <w:style w:type="paragraph" w:styleId="Chmc">
    <w:name w:val="Chỉ mục"/>
    <w:basedOn w:val="Normal"/>
    <w:qFormat/>
    <w:pPr>
      <w:suppressLineNumbers/>
    </w:pPr>
    <w:rPr/>
  </w:style>
  <w:style w:type="paragraph" w:styleId="Nidungbng">
    <w:name w:val="Nội dung bảng"/>
    <w:basedOn w:val="Normal"/>
    <w:qFormat/>
    <w:pPr>
      <w:suppressLineNumbers/>
    </w:pPr>
    <w:rPr/>
  </w:style>
  <w:style w:type="paragraph" w:styleId="Tiubng">
    <w:name w:val="Tiêu đề bảng"/>
    <w:basedOn w:val="Nidungbng"/>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LibreOffice/5.2.4.2$MacOSX_X86_64 LibreOffice_project/3d5603e1122f0f102b62521720ab13a38a4e0eb0</Application>
  <Pages>2</Pages>
  <Words>889</Words>
  <Characters>3025</Characters>
  <CharactersWithSpaces>3882</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2022-04-11T15:30:28Z</dcterms:created>
  <dc:creator/>
  <dc:description/>
  <dc:language>vi-VN</dc:language>
  <cp:lastModifiedBy/>
  <dcterms:modified xsi:type="dcterms:W3CDTF">2022-04-11T15:32:27Z</dcterms:modified>
  <cp:revision>1</cp:revision>
  <dc:subject/>
  <dc:title/>
</cp:coreProperties>
</file>